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C" w:rsidRPr="00FF1884" w:rsidRDefault="00AD0CAC" w:rsidP="00FF18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1884">
        <w:rPr>
          <w:color w:val="000000"/>
          <w:sz w:val="28"/>
          <w:szCs w:val="28"/>
        </w:rPr>
        <w:t>Разъясняем, что если происшествие случилось на дороге федерального или регионального значения, то иски предъявляются соответственно к Российской Федерации или к администрации соответствующего субъекта Российской Федерации.</w:t>
      </w:r>
    </w:p>
    <w:p w:rsidR="00FF1884" w:rsidRDefault="00AD0CAC" w:rsidP="00FF18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1884">
        <w:rPr>
          <w:color w:val="000000"/>
          <w:sz w:val="28"/>
          <w:szCs w:val="28"/>
        </w:rPr>
        <w:t xml:space="preserve">В соответствии с п. 5 ч. 1 ст. 14 Федерального закона от 06.10.2003 года </w:t>
      </w:r>
      <w:r w:rsidR="00D027EA"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FF1884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относится к вопросам местного значения.</w:t>
      </w:r>
    </w:p>
    <w:p w:rsidR="00AD0CAC" w:rsidRPr="00FF1884" w:rsidRDefault="00AD0CAC" w:rsidP="00FF18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1884">
        <w:rPr>
          <w:color w:val="000000"/>
          <w:sz w:val="28"/>
          <w:szCs w:val="28"/>
        </w:rPr>
        <w:t>Состояние автодорог регулируется администрацией муниципального образования. Как правило, администрациями заключаются договоры на обслуживание отдельных участков дорог с организациями. В случае некачественного содержания автомобильных дорог ответственность, а также при наступлении негативных последствий на дорожном полотне, может нести обслуживающая организация.</w:t>
      </w:r>
      <w:r w:rsidR="00FF1884">
        <w:rPr>
          <w:color w:val="000000"/>
          <w:sz w:val="28"/>
          <w:szCs w:val="28"/>
        </w:rPr>
        <w:t xml:space="preserve"> </w:t>
      </w:r>
      <w:r w:rsidRPr="00FF1884">
        <w:rPr>
          <w:color w:val="000000"/>
          <w:sz w:val="28"/>
          <w:szCs w:val="28"/>
        </w:rPr>
        <w:t>Дорожной деятельностью является деятельность по проектированию, строительству, реконструкции, капитальному ремонту, ремонту и содержанию автомобильных дорог (п. 6 ст. 3 Закона № 257-ФЗ).</w:t>
      </w:r>
    </w:p>
    <w:p w:rsidR="00AD0CAC" w:rsidRPr="00FF1884" w:rsidRDefault="00AD0CAC" w:rsidP="00FF18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1884">
        <w:rPr>
          <w:color w:val="000000"/>
          <w:sz w:val="28"/>
          <w:szCs w:val="28"/>
        </w:rPr>
        <w:t>В содержание автомобильных дорог входит совокупность мероприятий по поддержанию в соответствующем состоянии автодорог, а также по организации и обеспечению безопасности дорожного движения. Содержание автомобильных дорог должно осуществляться в соответствии с требованиями действующих технических регламентов в целях обеспечения сохранности автомобильных дорог и для создания условий для безопасного дорожного движения.</w:t>
      </w:r>
    </w:p>
    <w:p w:rsidR="00AD0CAC" w:rsidRPr="00FF1884" w:rsidRDefault="00AD0CAC" w:rsidP="00FF18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1884">
        <w:rPr>
          <w:color w:val="000000"/>
          <w:sz w:val="28"/>
          <w:szCs w:val="28"/>
        </w:rPr>
        <w:t>Согласно ст. 12 Федерального закона от 10.12.1995 года № 196-ФЗ «О безопасности дорожного движения»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дорог. Должностные и иные лица, ответственные за состояние дорог, сооружений, обязаны, обязаны содержать их в таком состоянии, которое бы обеспечивало безопасность для движения, для чего принимаются соответствующие стандарты, нормы и правила (п. 13 Постановления Правительства РФ от 23.10.1993 года № 1090 «О Правилах дорожного движения»). Организация по ходатайству администрации муниципального образования может быть привлечена к участию в судебном разбирательстве в качестве соответчика либо в дальнейшем администрация может взыскать с нее выплаченную пострадавшему лицу сумма в порядке регресса.</w:t>
      </w:r>
    </w:p>
    <w:p w:rsidR="00122B88" w:rsidRPr="00FF1884" w:rsidRDefault="00122B88" w:rsidP="00FF18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22B88" w:rsidRPr="00FF1884" w:rsidSect="00FF188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AC"/>
    <w:rsid w:val="00122B88"/>
    <w:rsid w:val="001A3A91"/>
    <w:rsid w:val="00AD0CAC"/>
    <w:rsid w:val="00D027EA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5500"/>
  <w15:docId w15:val="{1A94AE99-0C35-45C1-BF61-6FFEF0E3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Зубанова Оксана Яковлевна</cp:lastModifiedBy>
  <cp:revision>5</cp:revision>
  <dcterms:created xsi:type="dcterms:W3CDTF">2020-12-15T07:15:00Z</dcterms:created>
  <dcterms:modified xsi:type="dcterms:W3CDTF">2020-12-16T11:14:00Z</dcterms:modified>
</cp:coreProperties>
</file>