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B05" w:rsidRPr="00283B05" w:rsidRDefault="00283B05" w:rsidP="00283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D504C">
        <w:rPr>
          <w:rFonts w:ascii="Times New Roman" w:hAnsi="Times New Roman" w:cs="Times New Roman"/>
          <w:b/>
          <w:sz w:val="28"/>
          <w:szCs w:val="28"/>
        </w:rPr>
        <w:t>Банк платит клиенту два вида процентов за неверные операции по счету</w:t>
      </w:r>
    </w:p>
    <w:p w:rsidR="00283B05" w:rsidRPr="00FD504C" w:rsidRDefault="00283B05" w:rsidP="00283B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3B05" w:rsidRDefault="00283B05" w:rsidP="00283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856 Гражданского кодекса Российской Федерации предусмотрена ответственность банка за ненадлежащее совершение операций по банковскому счету.</w:t>
      </w:r>
    </w:p>
    <w:p w:rsidR="00283B05" w:rsidRDefault="00283B05" w:rsidP="00283B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случаях несвоевременного зачисления банком на счет клиента поступивших клиенту денежных средств либо их необоснованного списания со счета,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размере, которые предусмотрены статьей 395 настоящего Кодекса, независимо от уплаты банком процентов за пользование денежными средствами, находящимися на банковском счете клиента,</w:t>
      </w:r>
      <w:r w:rsidRPr="00B4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пунктом 1 статьи 852 Гражданского Кодекса.</w:t>
      </w:r>
    </w:p>
    <w:p w:rsidR="00CD6D61" w:rsidRDefault="00CD6D61">
      <w:bookmarkStart w:id="0" w:name="_GoBack"/>
      <w:bookmarkEnd w:id="0"/>
    </w:p>
    <w:sectPr w:rsidR="00CD6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ED"/>
    <w:rsid w:val="00283B05"/>
    <w:rsid w:val="00796FED"/>
    <w:rsid w:val="00C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14D17-4546-48A1-8F3D-D5B26CA7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Абдулхаликова Аделина Рившатовна</dc:creator>
  <cp:keywords/>
  <dc:description/>
  <cp:lastModifiedBy>Абдулхаликова Аделина Рившатовна</cp:lastModifiedBy>
  <cp:revision>2</cp:revision>
  <dcterms:created xsi:type="dcterms:W3CDTF">2019-12-26T06:19:00Z</dcterms:created>
  <dcterms:modified xsi:type="dcterms:W3CDTF">2019-12-26T06:20:00Z</dcterms:modified>
</cp:coreProperties>
</file>