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26" w:rsidRPr="003F1972" w:rsidRDefault="005B3C26" w:rsidP="005B3C26">
      <w:pPr>
        <w:spacing w:after="0" w:line="240" w:lineRule="exact"/>
        <w:ind w:firstLine="709"/>
        <w:jc w:val="both"/>
        <w:outlineLvl w:val="0"/>
        <w:rPr>
          <w:rFonts w:ascii="Times New Roman" w:eastAsia="Times New Roman" w:hAnsi="Times New Roman" w:cs="Times New Roman"/>
          <w:b/>
          <w:bCs/>
          <w:kern w:val="36"/>
          <w:sz w:val="28"/>
          <w:szCs w:val="28"/>
        </w:rPr>
      </w:pPr>
      <w:r w:rsidRPr="003F1972">
        <w:rPr>
          <w:rFonts w:ascii="Times New Roman" w:eastAsia="Times New Roman" w:hAnsi="Times New Roman" w:cs="Times New Roman"/>
          <w:b/>
          <w:bCs/>
          <w:kern w:val="36"/>
          <w:sz w:val="28"/>
          <w:szCs w:val="28"/>
        </w:rPr>
        <w:t>ПРОКУРАТУРА РАЗЪЯСНЯЕТ: Упрощен порядок использования средств материнского капитала в семьях, имеющих детей-инвалидов</w:t>
      </w:r>
    </w:p>
    <w:p w:rsidR="005B3C26" w:rsidRPr="003F1972" w:rsidRDefault="005B3C26" w:rsidP="005B3C26">
      <w:pPr>
        <w:spacing w:after="0" w:line="240" w:lineRule="exact"/>
        <w:ind w:firstLine="709"/>
        <w:jc w:val="both"/>
        <w:outlineLvl w:val="0"/>
        <w:rPr>
          <w:rFonts w:ascii="Times New Roman" w:eastAsia="Times New Roman" w:hAnsi="Times New Roman" w:cs="Times New Roman"/>
          <w:b/>
          <w:bCs/>
          <w:kern w:val="36"/>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Федеральным законом от 28.12.2017 № 432-ФЗ «О внесении изменений в Федеральный закон «О дополнительных мерах государственной поддержки семей, имеющих детей» предусмотрена возможность направления материнского (семейного) капитала на приобретение товаров и услуг, предназначенных для социальной адаптации и интеграции в общество детей-инвалидов. Для этого в индивидуальной программе реабилитации ребенка-инвалида должны быть рекомендации по приобретению и использованию таких товаров (услуг).</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Постановлением Правительства Российской Федерации от 24.01.2018 № 60 внесены изменения в Правила признания лица инвалидом, которые упрощают порядок замены индивидуальной программы реабилитации ребенка-инвалида на новую с включением в нее рекомендаций по приобретению и использованию таких товаров без оформления нового направления на медико-социальную экспертизу.</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Так, в случае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ребенку-инвалиду по его заявлению либо по заявлению законного или уполномоченного представителя ребенка-инвалида взамен ранее выданной составляется </w:t>
      </w:r>
      <w:r w:rsidRPr="003F1972">
        <w:rPr>
          <w:rFonts w:ascii="Times New Roman" w:eastAsia="Times New Roman" w:hAnsi="Times New Roman" w:cs="Times New Roman"/>
          <w:sz w:val="28"/>
          <w:szCs w:val="28"/>
          <w:u w:val="single"/>
        </w:rPr>
        <w:t>новая</w:t>
      </w:r>
      <w:r w:rsidRPr="003F1972">
        <w:rPr>
          <w:rFonts w:ascii="Times New Roman" w:eastAsia="Times New Roman" w:hAnsi="Times New Roman" w:cs="Times New Roman"/>
          <w:sz w:val="28"/>
          <w:szCs w:val="28"/>
        </w:rPr>
        <w:t> индивидуальная программа реабилитации или абилитации ребенка-инвалида </w:t>
      </w:r>
      <w:r w:rsidRPr="003F1972">
        <w:rPr>
          <w:rFonts w:ascii="Times New Roman" w:eastAsia="Times New Roman" w:hAnsi="Times New Roman" w:cs="Times New Roman"/>
          <w:sz w:val="28"/>
          <w:szCs w:val="28"/>
          <w:u w:val="single"/>
        </w:rPr>
        <w:t>без оформления нового направления на медико-социальную экспертизу.</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Федерального бюро медико-социальной экспертизы либо главного бюро медико-социальной экспертизы, а также бюро медико-социальной экспертизы в городах и районах, являющимися филиалами главных бюро, о нуждаемости ребенка-инвалида в приобретении товаров и услуг, принятого по результатам обследования ребенка-инвалида.</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изделиям, ребенок-инвалид (его законный или уполномоченный представитель) представляет в бюро (главное бюро, Федеральное бюро) выданную медицинской организацией справку, содержащую информацию об основном диагнозе, осложнениях и сопутствующем диагнозе (диагнозах) ребенка, и решение о нуждаемости ребенка-инвалида в приобретении товаров и услуг, относящихся к медицинским изделиям, которое принимается на основании справки.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 xml:space="preserve">Представление справки не требуется, если заявление о включении товаров и услуг, относящихся к медицинским изделиям, в индивидуальную </w:t>
      </w:r>
      <w:r w:rsidRPr="003F1972">
        <w:rPr>
          <w:rFonts w:ascii="Times New Roman" w:eastAsia="Times New Roman" w:hAnsi="Times New Roman" w:cs="Times New Roman"/>
          <w:sz w:val="28"/>
          <w:szCs w:val="28"/>
        </w:rPr>
        <w:lastRenderedPageBreak/>
        <w:t>программу реабилитации или абилитации ребенка-инвалида поступило в течение 1 года с даты выдачи указанной программы бюро (главным бюро, Федеральным бюро). В данном случае решение о нуждаемости в приобретении товаров и услуг, относящихся к медицинским изделиям, выносится по имеющимся в бюро (главном бюро, Федеральном бюро) сведениям предыдущих освидетельствований ребенка-инвалида, находящихся в распоряжении бюро (главного бюро, Федерального бюро).</w:t>
      </w: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exact"/>
        <w:ind w:firstLine="709"/>
        <w:jc w:val="both"/>
        <w:outlineLvl w:val="0"/>
        <w:rPr>
          <w:rFonts w:ascii="Times New Roman" w:eastAsia="Times New Roman" w:hAnsi="Times New Roman" w:cs="Times New Roman"/>
          <w:b/>
          <w:bCs/>
          <w:kern w:val="36"/>
          <w:sz w:val="28"/>
          <w:szCs w:val="28"/>
        </w:rPr>
      </w:pPr>
      <w:r w:rsidRPr="003F1972">
        <w:rPr>
          <w:rFonts w:ascii="Times New Roman" w:eastAsia="Times New Roman" w:hAnsi="Times New Roman" w:cs="Times New Roman"/>
          <w:b/>
          <w:bCs/>
          <w:kern w:val="36"/>
          <w:sz w:val="28"/>
          <w:szCs w:val="28"/>
        </w:rPr>
        <w:lastRenderedPageBreak/>
        <w:t>ПРОКУРАТУРА РАЗЪЯСНЯЕТ: Уголовная ответственность за реализацию алкоголя несовершеннолетним</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Оборот алкогольной продукции находится под особым контролем государства, поскольку данная деятельность напрямую связана с жизнью и здоровьем населения.</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Спиртные напитки (алкогольная продукция) относятся к свободно обращающимся продовольственным товарам, однако их оборот в розничной торговле обусловлен целым рядом ограничений.</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С 1 июля 2012 года к алкогольной продукции относится пиво с содержанием этилового спирта более 0,5% объема готовой продукции.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Розничная продажа алкогольной продукции несовершеннолетним запрещена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Статьей 151.1 Уголовного кодекса Российской Федерации установлена уголовная ответственность за розничную реализацию несовершеннолетним  алкогольной продукции.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Преступление заключается в неоднократной розничной продаже в магазинах, кафе, ресторанах несовершеннолетним алкогольных напитков.</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Согласно примечанию к статье 151.1 УК РФ повторной продажей несовершеннолетнему алкогольной продукции является ее реализация лицом, которое ранее привлекалось к административной ответственности за аналогичные действия в течение 180 дней.</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Продажа алкоголя после истечения 180 дней со дня назначения административного наказания, а равно разовая его продажа влечет административную ответственность по статье 14.16 КоАП РФ (Нарушение правил продажи этилового спирта, алкогольной и спиртосодержащей продукции).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К уголовной ответственности привлекается гражданин, непосредственно осуществивший отпуск алкогольной продукции несовершеннолетнему, — продавец. Должностные лица организаций, индивидуальные предприниматели, которые непосредственно не осуществляли продажу алкоголя несовершеннолетнему, однако способствовали либо подстрекали продавца к совершению преступления, подлежат ответственности по статье 151.1 УК РФ  со ссылкой на соответствующую часть ст. 33 УК РФ (Виды соучастников преступления).</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 xml:space="preserve">Преступление наказывается штрафом в размере от 50 тысяч до 80 тысяч рублей или в размере заработной платы или иного дохода осужденного за период от трех до шести месяцев либо исправительными работами на срок </w:t>
      </w:r>
      <w:r w:rsidRPr="003F1972">
        <w:rPr>
          <w:rFonts w:ascii="Times New Roman" w:eastAsia="Times New Roman" w:hAnsi="Times New Roman" w:cs="Times New Roman"/>
          <w:sz w:val="28"/>
          <w:szCs w:val="28"/>
        </w:rPr>
        <w:lastRenderedPageBreak/>
        <w:t>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Нарушение запрета на продажу алкогольной продукции несовершеннолетним является основанием к аннулированию лицензии на розничную продажу алкоголя уполномоченным органом.</w:t>
      </w: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 </w:t>
      </w: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exact"/>
        <w:ind w:firstLine="709"/>
        <w:jc w:val="both"/>
        <w:outlineLvl w:val="0"/>
        <w:rPr>
          <w:rFonts w:ascii="Times New Roman" w:eastAsia="Times New Roman" w:hAnsi="Times New Roman" w:cs="Times New Roman"/>
          <w:b/>
          <w:bCs/>
          <w:kern w:val="36"/>
          <w:sz w:val="28"/>
          <w:szCs w:val="28"/>
        </w:rPr>
      </w:pPr>
      <w:r w:rsidRPr="003F1972">
        <w:rPr>
          <w:rFonts w:ascii="Times New Roman" w:eastAsia="Times New Roman" w:hAnsi="Times New Roman" w:cs="Times New Roman"/>
          <w:b/>
          <w:bCs/>
          <w:kern w:val="36"/>
          <w:sz w:val="28"/>
          <w:szCs w:val="28"/>
        </w:rPr>
        <w:lastRenderedPageBreak/>
        <w:t>ПРОКУРАТУРА РАЗЪЯСНЯЕТ: Порядок возмещения вреда, причиненного несовершеннолетними  </w:t>
      </w:r>
    </w:p>
    <w:p w:rsidR="005B3C26" w:rsidRPr="003F1972" w:rsidRDefault="005B3C26" w:rsidP="005B3C26">
      <w:pPr>
        <w:spacing w:after="0" w:line="240" w:lineRule="exact"/>
        <w:ind w:firstLine="709"/>
        <w:jc w:val="both"/>
        <w:outlineLvl w:val="0"/>
        <w:rPr>
          <w:rFonts w:ascii="Times New Roman" w:eastAsia="Times New Roman" w:hAnsi="Times New Roman" w:cs="Times New Roman"/>
          <w:b/>
          <w:bCs/>
          <w:kern w:val="36"/>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Обязанности, аналогичные родительским, возложены в установленных законом случаях и на иных физических либо юридических лиц.</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 ответственность за вред, причиненный лицами, не достигшими 14 лет  (ст. 1073 ГК РФ);</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 ответственность за вред, причиненный лицами от 14 до 18 лет (ст. 1074 ГК РФ).</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Ответственность за вред, причиненный несовершеннолетним, не достигшим четырнадцати лет (малолетним), в соответствии со ст. 1073 ГК РФ несут его родители (усыновители), опекуны, а также организация для детей-сирот и детей, оставшихся без попечения родителей, в которую он был помещен под надзор, если они не докажут, что вред возник не по их вине.</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причиненный малолетним вред, если не докажут, что он возник не по их вине при осуществлении надзора.</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 (п. 1 ст. 1074 ГК РФ).</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 xml:space="preserve">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w:t>
      </w:r>
      <w:r w:rsidRPr="003F1972">
        <w:rPr>
          <w:rFonts w:ascii="Times New Roman" w:eastAsia="Times New Roman" w:hAnsi="Times New Roman" w:cs="Times New Roman"/>
          <w:sz w:val="28"/>
          <w:szCs w:val="28"/>
        </w:rPr>
        <w:lastRenderedPageBreak/>
        <w:t>ребенка (например, из-за длительной болезни). Необходимо отметить, что лишение родительских прав также не освобождает указанных родителей от ответственности за вред, причиненный несовершеннолетними.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В рассматриваемых судом гражданских делах о возмещении вреда, причиненного здоровью, в силу ст. 45 ГПК РФ является обязательным участие прокурора.</w:t>
      </w:r>
    </w:p>
    <w:p w:rsidR="005B3C26" w:rsidRPr="003F1972" w:rsidRDefault="005B3C26" w:rsidP="005B3C26">
      <w:pPr>
        <w:spacing w:after="0" w:line="240" w:lineRule="exact"/>
        <w:contextualSpacing/>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 </w:t>
      </w:r>
    </w:p>
    <w:p w:rsidR="005B3C26" w:rsidRPr="003F1972" w:rsidRDefault="005B3C26" w:rsidP="005B3C26">
      <w:pPr>
        <w:spacing w:after="0" w:line="240" w:lineRule="exact"/>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outlineLvl w:val="0"/>
        <w:rPr>
          <w:rFonts w:ascii="Times New Roman" w:eastAsia="Times New Roman" w:hAnsi="Times New Roman" w:cs="Times New Roman"/>
          <w:b/>
          <w:bCs/>
          <w:kern w:val="36"/>
          <w:sz w:val="28"/>
          <w:szCs w:val="28"/>
        </w:rPr>
      </w:pPr>
      <w:r w:rsidRPr="003F1972">
        <w:rPr>
          <w:rFonts w:ascii="Times New Roman" w:eastAsia="Times New Roman" w:hAnsi="Times New Roman" w:cs="Times New Roman"/>
          <w:b/>
          <w:bCs/>
          <w:kern w:val="36"/>
          <w:sz w:val="28"/>
          <w:szCs w:val="28"/>
        </w:rPr>
        <w:lastRenderedPageBreak/>
        <w:t>ПРОКУРАТУРА РАЗЪЯСНЯЕТ: Уголовная ответственность за склонение детей к суициду</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Федеральным законом от 07.06.2017 № 120-ФЗ «О внесении изменений в УК РФ и ст. 151 УПК РФ в части установления дополнительных механизмов противодействия деятельности, направленной на побуждение детей к суицидальному поведению» в Уголовный кодекс Российской Федерации внесены изменения в статью 110, предусматривающую ответственность за доведение до самоубийства.</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Кроме того, введены новые статьи 110.1 (Склонение к совершению самоубийства или содействие совершению самоубийства), 110.2 (Организация деятельности, направленной на побуждение к совершению самоубийства) и 151.2 (Вовлечение несовершеннолетнего в совершение действий, представляющих опасность для жизни несовершеннолетнего), устанавливающие уголовную ответственность за склонение к совершению самоубийства или содействие совершению самоубийства, организацию деятельности, направленной на побуждение к совершению самоубийства и за вовлечение несовершеннолетнего в совершение действий, представляющих опасность для его жизни.</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Названным законом расширены квалифицирующие признаки статьи 110 УК РФ (Доведение до самоубийства), согласно которым усилена уголовная ответственность за доведение до самоубийства несовершеннолетнего или лица, заведомо для виновного находящегося в беспомощном состоянии либо в материальной или иной зависимости от виновного, в отношении женщины, заведомо для виновного находящейся в состоянии беременности, в отношении двух или более лиц, группой лиц по предварительному сговору или организованной группой, а также за совершение этого преступления посредством публичного выступления, публично демонстрирующегося произведения, в СМИ или сети «Интернет».</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Состав данного преступления переведен законодателем из категории преступлений средней тяжести в тяжкие, максимальное наказание за которое по части второй может быть назначено от пяти до восьми лет лишения свободы с лишением права занимать определённые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Преступления, предусмотренные статьями 110.1, 110.2 и 151.2 УК РФ отнесены к категории преступлений средней тяжести, максимальное наказание за совершение которых не превышает пяти лет лишения свободы.</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t>Примечанием к статье 110.2 УК РФ законодателем определены условия, при которых лицо освобождается от уголовной ответственности за совершение этого преступления. Для этого лицо должно добровольно прекратить соответствующую преступную деятельность и активно способствовать раскрытию и (или) пресечению преступлений, предусмотренных статьями 110, 110.1, 110.2 УК РФ, при этом его действия не должны содержать иного состава преступления.</w:t>
      </w: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r w:rsidRPr="003F1972">
        <w:rPr>
          <w:rFonts w:ascii="Times New Roman" w:eastAsia="Times New Roman" w:hAnsi="Times New Roman" w:cs="Times New Roman"/>
          <w:sz w:val="28"/>
          <w:szCs w:val="28"/>
        </w:rPr>
        <w:lastRenderedPageBreak/>
        <w:t>К уголовной ответственности по ст. 151.2 УК РФ могут быть привлечены только лица, достигшие восемнадцатилетнего возраста, ответственность же за совершение других обсуждаемых преступлений наступает с шестнадцати лет.</w:t>
      </w: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exact"/>
        <w:ind w:firstLine="709"/>
        <w:contextualSpacing/>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pStyle w:val="2"/>
        <w:shd w:val="clear" w:color="auto" w:fill="FFFFFF"/>
        <w:spacing w:before="0" w:line="240" w:lineRule="exact"/>
        <w:ind w:firstLine="709"/>
        <w:jc w:val="both"/>
        <w:rPr>
          <w:rFonts w:ascii="Times New Roman" w:hAnsi="Times New Roman" w:cs="Times New Roman"/>
          <w:bCs w:val="0"/>
          <w:color w:val="auto"/>
          <w:sz w:val="28"/>
          <w:szCs w:val="28"/>
        </w:rPr>
      </w:pPr>
      <w:r w:rsidRPr="003F1972">
        <w:rPr>
          <w:rFonts w:ascii="Times New Roman" w:eastAsia="Times New Roman" w:hAnsi="Times New Roman" w:cs="Times New Roman"/>
          <w:bCs w:val="0"/>
          <w:color w:val="auto"/>
          <w:kern w:val="36"/>
          <w:sz w:val="28"/>
          <w:szCs w:val="28"/>
          <w:lang w:eastAsia="ru-RU"/>
        </w:rPr>
        <w:lastRenderedPageBreak/>
        <w:t>ПРОКУ</w:t>
      </w:r>
      <w:r w:rsidRPr="003F1972">
        <w:rPr>
          <w:rFonts w:ascii="Times New Roman" w:eastAsia="Times New Roman" w:hAnsi="Times New Roman" w:cs="Times New Roman"/>
          <w:color w:val="auto"/>
          <w:kern w:val="36"/>
          <w:sz w:val="28"/>
          <w:szCs w:val="28"/>
          <w:lang w:eastAsia="ru-RU"/>
        </w:rPr>
        <w:t>Р</w:t>
      </w:r>
      <w:r w:rsidRPr="003F1972">
        <w:rPr>
          <w:rFonts w:ascii="Times New Roman" w:eastAsia="Times New Roman" w:hAnsi="Times New Roman" w:cs="Times New Roman"/>
          <w:bCs w:val="0"/>
          <w:color w:val="auto"/>
          <w:kern w:val="36"/>
          <w:sz w:val="28"/>
          <w:szCs w:val="28"/>
          <w:lang w:eastAsia="ru-RU"/>
        </w:rPr>
        <w:t>АТУРА</w:t>
      </w:r>
      <w:r w:rsidRPr="003F1972">
        <w:rPr>
          <w:rFonts w:ascii="Times New Roman" w:eastAsia="Times New Roman" w:hAnsi="Times New Roman" w:cs="Times New Roman"/>
          <w:color w:val="auto"/>
          <w:kern w:val="36"/>
          <w:sz w:val="28"/>
          <w:szCs w:val="28"/>
          <w:lang w:eastAsia="ru-RU"/>
        </w:rPr>
        <w:t xml:space="preserve"> РАЗЪЯСНЯЕТ</w:t>
      </w:r>
      <w:r w:rsidRPr="003F1972">
        <w:rPr>
          <w:rFonts w:ascii="Times New Roman" w:hAnsi="Times New Roman" w:cs="Times New Roman"/>
          <w:bCs w:val="0"/>
          <w:color w:val="auto"/>
          <w:sz w:val="28"/>
          <w:szCs w:val="28"/>
        </w:rPr>
        <w:t>: О порядке блокировки операций по банковским картам в случае выявления признаков совершения перевода без согласия клиента</w:t>
      </w:r>
    </w:p>
    <w:p w:rsidR="005B3C26" w:rsidRPr="003F1972" w:rsidRDefault="005B3C26" w:rsidP="005B3C26">
      <w:pPr>
        <w:spacing w:after="0" w:line="240" w:lineRule="auto"/>
        <w:contextualSpacing/>
        <w:rPr>
          <w:rFonts w:ascii="Times New Roman" w:hAnsi="Times New Roman" w:cs="Times New Roman"/>
          <w:sz w:val="28"/>
          <w:szCs w:val="28"/>
        </w:rPr>
      </w:pPr>
    </w:p>
    <w:p w:rsidR="005B3C26" w:rsidRPr="003F1972" w:rsidRDefault="005B3C26" w:rsidP="005B3C26">
      <w:pPr>
        <w:pStyle w:val="a3"/>
        <w:shd w:val="clear" w:color="auto" w:fill="FFFFFF"/>
        <w:spacing w:before="0" w:beforeAutospacing="0" w:after="0" w:afterAutospacing="0"/>
        <w:ind w:firstLine="709"/>
        <w:contextualSpacing/>
        <w:jc w:val="both"/>
        <w:rPr>
          <w:sz w:val="28"/>
          <w:szCs w:val="28"/>
        </w:rPr>
      </w:pPr>
      <w:r w:rsidRPr="003F1972">
        <w:rPr>
          <w:sz w:val="28"/>
          <w:szCs w:val="28"/>
        </w:rPr>
        <w:t>Федеральным законом «О внесении изменений в отдельные законодательные акты Российской Федерации в части противодействия хищению денежных средств» от 27.06.2018 № 167-ФЗ определен порядок приостановления кредитной организацией перевода денежных средств клиента, в случае выявления признаков совершения перевода без его согласия.</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Банк, обнаружив такие признаки, до списания средств со счета, обязан приостановить на срок не более двух рабочих дней исполнение распоряжения о совершении операции, а также приостановить на такой же период использование клиентом электронного средства платежа.</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Процедура извещения владельца счета о приостановлении операции и запроса ее подтверждения и продолжения предусматривается условиями заключенного с клиентом договора.</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Признаки совершения перевода денежных средств без согласия клиента устанавливаются Банком России и размещаются на его официальном сайте.</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Изменения вступят в действие с 26 сентября 2018 года.</w:t>
      </w: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Прокурор 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советник юстиции                                                            И.А. Неудахин</w:t>
      </w: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pStyle w:val="2"/>
        <w:shd w:val="clear" w:color="auto" w:fill="FFFFFF"/>
        <w:spacing w:before="0" w:line="240" w:lineRule="exact"/>
        <w:ind w:firstLine="709"/>
        <w:contextualSpacing/>
        <w:jc w:val="both"/>
        <w:rPr>
          <w:rFonts w:ascii="Times New Roman" w:hAnsi="Times New Roman" w:cs="Times New Roman"/>
          <w:b w:val="0"/>
          <w:bCs w:val="0"/>
          <w:color w:val="auto"/>
          <w:sz w:val="28"/>
          <w:szCs w:val="28"/>
        </w:rPr>
      </w:pPr>
    </w:p>
    <w:p w:rsidR="005B3C26" w:rsidRPr="003F1972" w:rsidRDefault="005B3C26" w:rsidP="005B3C26">
      <w:pPr>
        <w:pStyle w:val="2"/>
        <w:shd w:val="clear" w:color="auto" w:fill="FFFFFF"/>
        <w:spacing w:before="0" w:line="240" w:lineRule="exact"/>
        <w:ind w:firstLine="709"/>
        <w:contextualSpacing/>
        <w:jc w:val="both"/>
        <w:rPr>
          <w:rFonts w:ascii="Times New Roman" w:hAnsi="Times New Roman" w:cs="Times New Roman"/>
          <w:b w:val="0"/>
          <w:bCs w:val="0"/>
          <w:color w:val="auto"/>
          <w:sz w:val="28"/>
          <w:szCs w:val="28"/>
        </w:rPr>
      </w:pPr>
    </w:p>
    <w:p w:rsidR="005B3C26" w:rsidRPr="003F1972" w:rsidRDefault="005B3C26" w:rsidP="005B3C26">
      <w:pPr>
        <w:spacing w:after="0" w:line="240" w:lineRule="exact"/>
        <w:contextualSpacing/>
        <w:rPr>
          <w:rFonts w:ascii="Times New Roman" w:hAnsi="Times New Roman" w:cs="Times New Roman"/>
          <w:sz w:val="28"/>
          <w:szCs w:val="28"/>
        </w:rPr>
      </w:pPr>
    </w:p>
    <w:p w:rsidR="005B3C26" w:rsidRPr="003F1972" w:rsidRDefault="005B3C26" w:rsidP="005B3C26">
      <w:pPr>
        <w:spacing w:after="0" w:line="240" w:lineRule="exact"/>
        <w:contextualSpacing/>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ind w:firstLine="709"/>
        <w:jc w:val="both"/>
        <w:rPr>
          <w:rFonts w:ascii="Times New Roman" w:eastAsia="Times New Roman" w:hAnsi="Times New Roman" w:cs="Times New Roman"/>
          <w:sz w:val="28"/>
          <w:szCs w:val="28"/>
        </w:rPr>
      </w:pPr>
    </w:p>
    <w:p w:rsidR="005B3C26" w:rsidRPr="003F1972" w:rsidRDefault="005B3C26" w:rsidP="005B3C26">
      <w:pPr>
        <w:spacing w:after="0" w:line="240" w:lineRule="auto"/>
        <w:jc w:val="both"/>
        <w:rPr>
          <w:rFonts w:ascii="Times New Roman" w:hAnsi="Times New Roman" w:cs="Times New Roman"/>
          <w:sz w:val="28"/>
          <w:szCs w:val="28"/>
        </w:rPr>
      </w:pPr>
    </w:p>
    <w:p w:rsidR="005B3C26" w:rsidRPr="003F1972" w:rsidRDefault="005B3C26" w:rsidP="005B3C26">
      <w:pPr>
        <w:pStyle w:val="2"/>
        <w:shd w:val="clear" w:color="auto" w:fill="FFFFFF"/>
        <w:spacing w:before="0" w:line="240" w:lineRule="exact"/>
        <w:ind w:firstLine="709"/>
        <w:jc w:val="both"/>
        <w:rPr>
          <w:rFonts w:ascii="Times New Roman" w:hAnsi="Times New Roman" w:cs="Times New Roman"/>
          <w:bCs w:val="0"/>
          <w:color w:val="auto"/>
          <w:sz w:val="28"/>
          <w:szCs w:val="28"/>
        </w:rPr>
      </w:pPr>
      <w:r w:rsidRPr="003F1972">
        <w:rPr>
          <w:rFonts w:ascii="Times New Roman" w:eastAsia="Times New Roman" w:hAnsi="Times New Roman" w:cs="Times New Roman"/>
          <w:color w:val="auto"/>
          <w:kern w:val="36"/>
          <w:sz w:val="28"/>
          <w:szCs w:val="28"/>
          <w:lang w:eastAsia="ru-RU"/>
        </w:rPr>
        <w:lastRenderedPageBreak/>
        <w:t>ПРОКУРОР РАЗЪЯСНЯЕТ</w:t>
      </w:r>
      <w:r w:rsidRPr="003F1972">
        <w:rPr>
          <w:rFonts w:ascii="Times New Roman" w:hAnsi="Times New Roman" w:cs="Times New Roman"/>
          <w:bCs w:val="0"/>
          <w:color w:val="auto"/>
          <w:sz w:val="28"/>
          <w:szCs w:val="28"/>
        </w:rPr>
        <w:t>: Установлен запрет на повторный отказ в предоставлении государственной услуги по основаниям, не указанным в первоначальном отказе</w:t>
      </w:r>
    </w:p>
    <w:p w:rsidR="005B3C26" w:rsidRPr="003F1972" w:rsidRDefault="005B3C26" w:rsidP="005B3C26">
      <w:pPr>
        <w:spacing w:after="0" w:line="240" w:lineRule="auto"/>
        <w:rPr>
          <w:rFonts w:ascii="Times New Roman" w:hAnsi="Times New Roman" w:cs="Times New Roman"/>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Федеральным законом от 19.07.2018 N 204-ФЗ внесены изменения в Федеральный закон «Об организации предоставления государственных и муниципальных услуг».</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соответствии с внесенными в статью 7 поправками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за исключением случаев: а) изменения требований нормативных правовых актов, касающихся предоставления государственной или муниципальной услуги, после первоначальной подачи;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б) наличия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 xml:space="preserve">Заявителю предоставляется возможность обратиться с жалобой на решения и действия (бездействия) органа, предоставляющего государственную и муниципальную услугу; должностного лица органа, предоставляющего государственную и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государственной и муниципальной услуги документов или информации, отсутствие или </w:t>
      </w:r>
      <w:r w:rsidRPr="003F1972">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и муниципальную услугу, многофункциональным центром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 (или) муниципальной услуги.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Федеральный закон вступает в силу с 18 октября 2018 года.</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spacing w:after="0" w:line="240" w:lineRule="auto"/>
        <w:jc w:val="both"/>
        <w:rPr>
          <w:rFonts w:ascii="Times New Roman" w:hAnsi="Times New Roman" w:cs="Times New Roman"/>
          <w:sz w:val="28"/>
          <w:szCs w:val="28"/>
        </w:rPr>
      </w:pPr>
    </w:p>
    <w:p w:rsidR="005B3C26" w:rsidRPr="003F1972" w:rsidRDefault="005B3C26" w:rsidP="005B3C26">
      <w:pPr>
        <w:spacing w:after="0" w:line="240" w:lineRule="auto"/>
        <w:ind w:firstLine="709"/>
        <w:jc w:val="both"/>
        <w:rPr>
          <w:rFonts w:ascii="Times New Roman" w:hAnsi="Times New Roman" w:cs="Times New Roman"/>
          <w:sz w:val="28"/>
          <w:szCs w:val="28"/>
        </w:rPr>
      </w:pPr>
    </w:p>
    <w:p w:rsidR="005B3C26" w:rsidRPr="003F1972" w:rsidRDefault="005B3C26" w:rsidP="005B3C26">
      <w:pPr>
        <w:pStyle w:val="2"/>
        <w:shd w:val="clear" w:color="auto" w:fill="FFFFFF"/>
        <w:spacing w:before="0" w:line="240" w:lineRule="exact"/>
        <w:ind w:firstLine="709"/>
        <w:contextualSpacing/>
        <w:jc w:val="both"/>
        <w:rPr>
          <w:rFonts w:ascii="Times New Roman" w:hAnsi="Times New Roman" w:cs="Times New Roman"/>
          <w:bCs w:val="0"/>
          <w:color w:val="auto"/>
          <w:sz w:val="28"/>
          <w:szCs w:val="28"/>
        </w:rPr>
      </w:pPr>
      <w:r w:rsidRPr="003F1972">
        <w:rPr>
          <w:rFonts w:ascii="Times New Roman" w:eastAsia="Times New Roman" w:hAnsi="Times New Roman" w:cs="Times New Roman"/>
          <w:color w:val="auto"/>
          <w:kern w:val="36"/>
          <w:sz w:val="28"/>
          <w:szCs w:val="28"/>
          <w:lang w:eastAsia="ru-RU"/>
        </w:rPr>
        <w:lastRenderedPageBreak/>
        <w:t>ПРОКУРАТУРА РАЗЪЯСНЯЕТ</w:t>
      </w:r>
      <w:r w:rsidRPr="003F1972">
        <w:rPr>
          <w:rFonts w:ascii="Times New Roman" w:hAnsi="Times New Roman" w:cs="Times New Roman"/>
          <w:bCs w:val="0"/>
          <w:color w:val="auto"/>
          <w:sz w:val="28"/>
          <w:szCs w:val="28"/>
        </w:rPr>
        <w:t>: Закреплено право прокурора, на обращение в суд с административным исковым заявлением о принудительной госпитализации отдельных категорий граждан</w:t>
      </w:r>
    </w:p>
    <w:p w:rsidR="005B3C26" w:rsidRPr="003F1972" w:rsidRDefault="005B3C26" w:rsidP="005B3C26">
      <w:pPr>
        <w:spacing w:after="0" w:line="240" w:lineRule="exact"/>
        <w:rPr>
          <w:rFonts w:ascii="Times New Roman" w:hAnsi="Times New Roman" w:cs="Times New Roman"/>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Федеральным законом от 19.07.2018 № 213-ФЗ внесены изменения в Кодекс административного судопроизводства Российской Федерации и отдельные законодательные акты Российской Федерации.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Внесенные изменения соответствуют правовой позиции Верховного Суда Российской Федерации, изложенной в пункте 12 постановления Пленума Верховного Суда РФ от 27.09.2016 №36 «О некоторых вопросах применения судами Кодекса административного судопроизводства Российской Федерации» и в определенной мере вызваны неоднозначной практикой принятия к производству административных исковых заявлений прокуроров о принудительной госпитализации в медицинскую организацию отдельных категорий граждан в недобровольном порядке.</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Суды большинства субъектов Российской Федерации принимают, рассматривают и удовлетворяют административные исковые заявления прокуроров, поданные на основании обращений главных врачей противотуберкулезных организаций (диспансеров) и районных больниц с просьбой обратиться в суд с административным исковым заявлением о недобровольной госпитализации граждан, больных заразной формой туберкулеза, уклоняющихся от обследования или от лечения.</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то же время суды некоторых регионов отказывали в принятии таких административных исков со ссылкой на отсутствие прямого указания в процессуальном законодательстве о праве прокурора по предъявлению административных исков данной категории.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Судебная коллегия по административным делам Верховного Суда Российской Федерации 12.01.2017 (дело N 78-КГПР16-67) согласилась с доводами кассационного представления заместителя Генерального прокурора Российской Федерации на определение Смоленского районного суда г. Санкт-Петербурга об отказе в принятии административного искового заявления и апелляционное определение Санкт-Петербургского городского суда об отказе в удовлетворении представления прокурора отменила судебные постановления, указав, что положения статьи 39 КАС РФ об участии прокурора в административном деле являются общими и распространяются на главу 31 КАС РФ, устанавливающую порядок производства по административным делам о госпитализации гражданина в медицинскую противотуберкулезную организацию в недобровольном порядке.</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Вместе с тем из буквального толкования нормы части 2 статьи 281 КАС РФ следует, что правом на обращение в суд с административным исковым заявлением обладает только руководитель медицинской противотуберкулезной организации, в которой гражданин находится под диспансерным наблюдением.</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 xml:space="preserve">Аналогичные нормы содержатся в части 1 статьи 275 КАС РФ, регулирующие порядок обращения в суд с административным исковым </w:t>
      </w:r>
      <w:r w:rsidRPr="003F1972">
        <w:rPr>
          <w:sz w:val="28"/>
          <w:szCs w:val="28"/>
        </w:rPr>
        <w:lastRenderedPageBreak/>
        <w:t>заявлением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целях формирования единообразной правоприменительной практики внесены изменения в закон и 30 июля 2018 года вступают в силу нормы, которыми прокурор наделяется правом подачи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(при этом административное исковое заявление подписывается прокурором). Кроме того, прокурором также может быть подано административное исковое заявление о госпитализации гражданина в медицинскую противотуберкулезную организацию в недобровольном порядке.</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Прокурор 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советник юстиции                                                            И.А. Неудахин</w:t>
      </w: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pStyle w:val="2"/>
        <w:shd w:val="clear" w:color="auto" w:fill="FFFFFF"/>
        <w:spacing w:before="0" w:line="240" w:lineRule="exact"/>
        <w:ind w:firstLine="709"/>
        <w:contextualSpacing/>
        <w:jc w:val="both"/>
        <w:rPr>
          <w:rFonts w:ascii="Times New Roman" w:hAnsi="Times New Roman" w:cs="Times New Roman"/>
          <w:b w:val="0"/>
          <w:bCs w:val="0"/>
          <w:color w:val="auto"/>
          <w:sz w:val="28"/>
          <w:szCs w:val="28"/>
        </w:rPr>
      </w:pPr>
    </w:p>
    <w:p w:rsidR="005B3C26" w:rsidRPr="003F1972" w:rsidRDefault="005B3C26" w:rsidP="005B3C26">
      <w:pPr>
        <w:pStyle w:val="2"/>
        <w:shd w:val="clear" w:color="auto" w:fill="FFFFFF"/>
        <w:spacing w:before="0" w:line="240" w:lineRule="exact"/>
        <w:ind w:firstLine="709"/>
        <w:contextualSpacing/>
        <w:jc w:val="both"/>
        <w:rPr>
          <w:rFonts w:ascii="Times New Roman" w:hAnsi="Times New Roman" w:cs="Times New Roman"/>
          <w:b w:val="0"/>
          <w:bCs w:val="0"/>
          <w:color w:val="auto"/>
          <w:sz w:val="28"/>
          <w:szCs w:val="28"/>
        </w:rPr>
      </w:pPr>
    </w:p>
    <w:p w:rsidR="005B3C26" w:rsidRPr="003F1972" w:rsidRDefault="005B3C26" w:rsidP="005B3C26">
      <w:pPr>
        <w:spacing w:after="0" w:line="240" w:lineRule="exact"/>
        <w:contextualSpacing/>
        <w:rPr>
          <w:rFonts w:ascii="Times New Roman" w:hAnsi="Times New Roman" w:cs="Times New Roman"/>
          <w:sz w:val="28"/>
          <w:szCs w:val="28"/>
        </w:rPr>
      </w:pPr>
    </w:p>
    <w:p w:rsidR="005B3C26" w:rsidRPr="003F1972" w:rsidRDefault="005B3C26" w:rsidP="005B3C26">
      <w:pPr>
        <w:spacing w:after="0" w:line="240" w:lineRule="exact"/>
        <w:contextualSpacing/>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pStyle w:val="2"/>
        <w:shd w:val="clear" w:color="auto" w:fill="FFFFFF"/>
        <w:spacing w:before="0" w:line="240" w:lineRule="auto"/>
        <w:ind w:firstLine="709"/>
        <w:contextualSpacing/>
        <w:jc w:val="both"/>
        <w:rPr>
          <w:rFonts w:ascii="Times New Roman" w:hAnsi="Times New Roman" w:cs="Times New Roman"/>
          <w:b w:val="0"/>
          <w:bCs w:val="0"/>
          <w:color w:val="auto"/>
          <w:sz w:val="28"/>
          <w:szCs w:val="28"/>
        </w:rPr>
      </w:pPr>
    </w:p>
    <w:p w:rsidR="005B3C26" w:rsidRPr="003F1972" w:rsidRDefault="005B3C26" w:rsidP="005B3C26">
      <w:pPr>
        <w:pStyle w:val="2"/>
        <w:shd w:val="clear" w:color="auto" w:fill="FFFFFF"/>
        <w:spacing w:before="0" w:line="240" w:lineRule="auto"/>
        <w:ind w:firstLine="709"/>
        <w:contextualSpacing/>
        <w:jc w:val="both"/>
        <w:rPr>
          <w:rFonts w:ascii="Times New Roman" w:hAnsi="Times New Roman" w:cs="Times New Roman"/>
          <w:b w:val="0"/>
          <w:bCs w:val="0"/>
          <w:color w:val="auto"/>
          <w:sz w:val="28"/>
          <w:szCs w:val="28"/>
        </w:rPr>
      </w:pPr>
    </w:p>
    <w:p w:rsidR="005B3C26" w:rsidRPr="003F1972" w:rsidRDefault="005B3C26" w:rsidP="005B3C26">
      <w:pPr>
        <w:pStyle w:val="2"/>
        <w:shd w:val="clear" w:color="auto" w:fill="FFFFFF"/>
        <w:spacing w:before="0" w:line="240" w:lineRule="auto"/>
        <w:ind w:firstLine="709"/>
        <w:contextualSpacing/>
        <w:jc w:val="both"/>
        <w:rPr>
          <w:rFonts w:ascii="Times New Roman" w:hAnsi="Times New Roman" w:cs="Times New Roman"/>
          <w:b w:val="0"/>
          <w:bCs w:val="0"/>
          <w:color w:val="auto"/>
          <w:sz w:val="28"/>
          <w:szCs w:val="28"/>
        </w:rPr>
      </w:pPr>
    </w:p>
    <w:p w:rsidR="005B3C26" w:rsidRPr="003F1972" w:rsidRDefault="005B3C26" w:rsidP="005B3C26">
      <w:pPr>
        <w:pStyle w:val="2"/>
        <w:shd w:val="clear" w:color="auto" w:fill="FFFFFF"/>
        <w:spacing w:before="0" w:line="240" w:lineRule="auto"/>
        <w:ind w:firstLine="709"/>
        <w:contextualSpacing/>
        <w:jc w:val="both"/>
        <w:rPr>
          <w:rFonts w:ascii="Times New Roman" w:hAnsi="Times New Roman" w:cs="Times New Roman"/>
          <w:b w:val="0"/>
          <w:bCs w:val="0"/>
          <w:color w:val="auto"/>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rPr>
          <w:rFonts w:ascii="Times New Roman" w:eastAsiaTheme="majorEastAsia"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pStyle w:val="2"/>
        <w:shd w:val="clear" w:color="auto" w:fill="FFFFFF"/>
        <w:spacing w:before="0" w:line="240" w:lineRule="exact"/>
        <w:ind w:firstLine="709"/>
        <w:jc w:val="both"/>
        <w:rPr>
          <w:rFonts w:ascii="Times New Roman" w:hAnsi="Times New Roman" w:cs="Times New Roman"/>
          <w:bCs w:val="0"/>
          <w:color w:val="auto"/>
          <w:sz w:val="28"/>
          <w:szCs w:val="28"/>
        </w:rPr>
      </w:pPr>
      <w:r w:rsidRPr="003F1972">
        <w:rPr>
          <w:rFonts w:ascii="Times New Roman" w:eastAsia="Times New Roman" w:hAnsi="Times New Roman" w:cs="Times New Roman"/>
          <w:color w:val="auto"/>
          <w:kern w:val="36"/>
          <w:sz w:val="28"/>
          <w:szCs w:val="28"/>
          <w:lang w:eastAsia="ru-RU"/>
        </w:rPr>
        <w:lastRenderedPageBreak/>
        <w:t>ПРОКУРАТУРА РАЗЪЯСНЯЕТ</w:t>
      </w:r>
      <w:r w:rsidRPr="003F1972">
        <w:rPr>
          <w:rFonts w:ascii="Times New Roman" w:hAnsi="Times New Roman" w:cs="Times New Roman"/>
          <w:bCs w:val="0"/>
          <w:color w:val="auto"/>
          <w:sz w:val="28"/>
          <w:szCs w:val="28"/>
        </w:rPr>
        <w:t>: Обновлен порядок проведения рекультивации и консервации земель и земельных участков</w:t>
      </w:r>
    </w:p>
    <w:p w:rsidR="005B3C26" w:rsidRPr="003F1972" w:rsidRDefault="005B3C26" w:rsidP="005B3C26">
      <w:pPr>
        <w:spacing w:after="0" w:line="240" w:lineRule="exact"/>
        <w:rPr>
          <w:rFonts w:ascii="Times New Roman" w:hAnsi="Times New Roman" w:cs="Times New Roman"/>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Постановлением Правительства Российской Федерации от 10.07.2018 № 800,  вступившим в действие с 20.07.2018, утверждены Правила проведения рекультивации и консервации земель.</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Утрачивают силу ранее действовавшие постановления Правительства Российской Федерации от 23.02.1994 № 140 «О рекультивации земель, снятии, сохранении и рациональном использовании плодородного слоя почвы», от 02.10.2002 № 830 «Об утверждении Положения о порядке консервации земель с изъятием их из оборота».</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Правилами проведения рекультивации и консервации земель устанавливается порядок разработки, согласования и утверждения проекта рекультивации земель и консервации земель, требования к его содержанию; порядок определения лица, ответственного за разработку проекта; цели и результаты проведения рекультивации земель и земельных участков; перечень земель и земельных участков, в отношении которых проведение рекультивации или консервации является обязательной; перечень технических и биологических мероприятий по рекультивации и консервации земель, порядок их осуществления; сроки проведения работ по рекультивации земель, сроки консервации земель и земельных участков, а также порядок их определения; порядок завершения работ по рекультивации земель, консервации земель.</w:t>
      </w:r>
    </w:p>
    <w:p w:rsidR="005B3C26" w:rsidRPr="003F1972" w:rsidRDefault="005B3C26" w:rsidP="005B3C26">
      <w:pPr>
        <w:pStyle w:val="a3"/>
        <w:shd w:val="clear" w:color="auto" w:fill="FFFFFF"/>
        <w:spacing w:before="0" w:beforeAutospacing="0" w:after="0" w:afterAutospacing="0" w:line="240" w:lineRule="exact"/>
        <w:ind w:firstLine="709"/>
        <w:jc w:val="both"/>
        <w:rPr>
          <w:sz w:val="28"/>
          <w:szCs w:val="28"/>
        </w:rPr>
      </w:pPr>
    </w:p>
    <w:p w:rsidR="005B3C26" w:rsidRPr="003F1972" w:rsidRDefault="005B3C26" w:rsidP="005B3C26">
      <w:pPr>
        <w:pStyle w:val="a3"/>
        <w:shd w:val="clear" w:color="auto" w:fill="FFFFFF"/>
        <w:spacing w:before="0" w:beforeAutospacing="0" w:after="0" w:afterAutospacing="0" w:line="240" w:lineRule="exact"/>
        <w:ind w:firstLine="709"/>
        <w:jc w:val="both"/>
        <w:rPr>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pStyle w:val="a3"/>
        <w:shd w:val="clear" w:color="auto" w:fill="FFFFFF"/>
        <w:spacing w:before="0" w:beforeAutospacing="0" w:after="0" w:afterAutospacing="0" w:line="240" w:lineRule="exact"/>
        <w:ind w:firstLine="709"/>
        <w:jc w:val="both"/>
        <w:rPr>
          <w:sz w:val="28"/>
          <w:szCs w:val="28"/>
        </w:rPr>
      </w:pPr>
    </w:p>
    <w:p w:rsidR="005B3C26" w:rsidRPr="003F1972" w:rsidRDefault="005B3C26" w:rsidP="005B3C26">
      <w:pPr>
        <w:pStyle w:val="a3"/>
        <w:shd w:val="clear" w:color="auto" w:fill="FFFFFF"/>
        <w:spacing w:before="0" w:beforeAutospacing="0" w:after="0" w:afterAutospacing="0" w:line="240" w:lineRule="exact"/>
        <w:ind w:firstLine="709"/>
        <w:jc w:val="both"/>
        <w:rPr>
          <w:sz w:val="28"/>
          <w:szCs w:val="28"/>
        </w:rPr>
      </w:pPr>
    </w:p>
    <w:p w:rsidR="005B3C26" w:rsidRPr="003F1972" w:rsidRDefault="005B3C26" w:rsidP="005B3C26">
      <w:pPr>
        <w:pStyle w:val="a3"/>
        <w:shd w:val="clear" w:color="auto" w:fill="FFFFFF"/>
        <w:spacing w:before="0" w:beforeAutospacing="0" w:after="0" w:afterAutospacing="0" w:line="240" w:lineRule="exact"/>
        <w:ind w:firstLine="709"/>
        <w:jc w:val="both"/>
        <w:rPr>
          <w:sz w:val="28"/>
          <w:szCs w:val="28"/>
        </w:rPr>
      </w:pPr>
    </w:p>
    <w:p w:rsidR="005B3C26" w:rsidRPr="003F1972" w:rsidRDefault="005B3C26" w:rsidP="005B3C26">
      <w:pPr>
        <w:pStyle w:val="a3"/>
        <w:shd w:val="clear" w:color="auto" w:fill="FFFFFF"/>
        <w:spacing w:before="0" w:beforeAutospacing="0" w:after="0" w:afterAutospacing="0" w:line="240" w:lineRule="exact"/>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p>
    <w:p w:rsidR="005B3C26" w:rsidRPr="003F1972" w:rsidRDefault="005B3C26" w:rsidP="005B3C26">
      <w:pPr>
        <w:pStyle w:val="a3"/>
        <w:shd w:val="clear" w:color="auto" w:fill="FFFFFF"/>
        <w:spacing w:before="0" w:beforeAutospacing="0" w:after="0" w:afterAutospacing="0"/>
        <w:jc w:val="both"/>
        <w:rPr>
          <w:sz w:val="28"/>
          <w:szCs w:val="28"/>
        </w:rPr>
      </w:pPr>
    </w:p>
    <w:p w:rsidR="005B3C26" w:rsidRPr="003F1972" w:rsidRDefault="005B3C26" w:rsidP="005B3C26">
      <w:pPr>
        <w:pStyle w:val="2"/>
        <w:shd w:val="clear" w:color="auto" w:fill="FFFFFF"/>
        <w:spacing w:before="0" w:line="240" w:lineRule="exact"/>
        <w:ind w:firstLine="709"/>
        <w:contextualSpacing/>
        <w:jc w:val="both"/>
        <w:rPr>
          <w:rFonts w:ascii="Times New Roman" w:hAnsi="Times New Roman" w:cs="Times New Roman"/>
          <w:bCs w:val="0"/>
          <w:color w:val="auto"/>
          <w:sz w:val="28"/>
          <w:szCs w:val="28"/>
        </w:rPr>
      </w:pPr>
      <w:r w:rsidRPr="003F1972">
        <w:rPr>
          <w:rFonts w:ascii="Times New Roman" w:eastAsia="Times New Roman" w:hAnsi="Times New Roman" w:cs="Times New Roman"/>
          <w:color w:val="auto"/>
          <w:kern w:val="36"/>
          <w:sz w:val="28"/>
          <w:szCs w:val="28"/>
          <w:lang w:eastAsia="ru-RU"/>
        </w:rPr>
        <w:lastRenderedPageBreak/>
        <w:t>ПРОКУРАТУРА РАЗЪЯСНЯЕТ</w:t>
      </w:r>
      <w:r w:rsidRPr="003F1972">
        <w:rPr>
          <w:rFonts w:ascii="Times New Roman" w:hAnsi="Times New Roman" w:cs="Times New Roman"/>
          <w:bCs w:val="0"/>
          <w:color w:val="auto"/>
          <w:sz w:val="28"/>
          <w:szCs w:val="28"/>
        </w:rPr>
        <w:t>: В правила перевозки детских групп внесены поправки в части применения новых требований к году выпуска автобуса</w:t>
      </w:r>
    </w:p>
    <w:p w:rsidR="005B3C26" w:rsidRPr="003F1972" w:rsidRDefault="005B3C26" w:rsidP="005B3C26">
      <w:pPr>
        <w:spacing w:after="0"/>
        <w:contextualSpacing/>
        <w:rPr>
          <w:rFonts w:ascii="Times New Roman" w:hAnsi="Times New Roman" w:cs="Times New Roman"/>
          <w:sz w:val="28"/>
          <w:szCs w:val="28"/>
        </w:rPr>
      </w:pP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Постановлением Правительства Российской Федерации от 17 апреля 2018 года № 456 в правила перевозки детских групп внесены поправки в части применения новых требований к году выпуска автобуса. Теперь возраст транспортных средств, используемых на этом направлении пассажирских перевозок, не может превышать 10 лет. Предусмотрена поэтапная реализация принятых изменений, в зависимости от категорий автобусов и регионов, по которым проходят маршруты перевозок.</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Новые требования применяются:</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 в отношении автобусов категории М2, используемых для организованных перевозок групп детей по маршрутам, начальные пункты отправления и (или) конечные пункты назначения которых расположены в Ленинградской и Московской областях, гг. Москве и Санкт-Петербурге, с 1 июля 2018 г., а в отношении автобусов категории М2, используемых для организованных перевозок групп детей по иным маршрутам, с 1 апреля 2019 г.;</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 в отношении автобусов категории М3, используемых для организованных перевозок групп детей по маршрутам, начальные пункты отправления и (или) конечные пункты назначения которых расположены в Ленинградской и Московской областях, гг. Москве и Санкт-Петербурге, с 1 октября 2018 г., а в отношении автобусов категории М3, используемых для организованных перевозок групп детей по иным маршрутам, с 1 октября 2019 г.</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Кроме того, с 1 июля 2018 года начали действовать изменения в Правила дорожного движения Российской Федерации и Правила организованной перевозки группы детей автобусами, в части использования проблескового маячка жёлтого или оранжевого цвета на указанных транспортных средствах при осуществлении организованной перевозки.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Начиная с указанной даты, осуществление организованной перевозки детской группы без включенного проблескового маячка на автобусе влечёт за собой административную ответственность, предусмотренную статьей 12.23 Кодекса Российской Федерации об административных правонарушениях.</w:t>
      </w: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pStyle w:val="a3"/>
        <w:shd w:val="clear" w:color="auto" w:fill="FFFFFF"/>
        <w:spacing w:before="0" w:beforeAutospacing="0" w:after="0" w:afterAutospacing="0" w:line="240" w:lineRule="exact"/>
        <w:ind w:firstLine="709"/>
        <w:contextualSpacing/>
        <w:jc w:val="both"/>
        <w:rPr>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pStyle w:val="2"/>
        <w:shd w:val="clear" w:color="auto" w:fill="FFFFFF"/>
        <w:spacing w:before="0" w:line="240" w:lineRule="exact"/>
        <w:contextualSpacing/>
        <w:jc w:val="both"/>
        <w:rPr>
          <w:rFonts w:ascii="Times New Roman" w:hAnsi="Times New Roman" w:cs="Times New Roman"/>
          <w:b w:val="0"/>
          <w:bCs w:val="0"/>
          <w:color w:val="auto"/>
          <w:sz w:val="28"/>
          <w:szCs w:val="28"/>
        </w:rPr>
      </w:pPr>
    </w:p>
    <w:p w:rsidR="005B3C26" w:rsidRPr="003F1972" w:rsidRDefault="005B3C26" w:rsidP="005B3C26">
      <w:pPr>
        <w:spacing w:after="0" w:line="240" w:lineRule="exact"/>
        <w:contextualSpacing/>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rPr>
          <w:rFonts w:ascii="Times New Roman" w:hAnsi="Times New Roman" w:cs="Times New Roman"/>
          <w:sz w:val="28"/>
          <w:szCs w:val="28"/>
        </w:rPr>
      </w:pPr>
    </w:p>
    <w:p w:rsidR="005B3C26" w:rsidRPr="003F1972" w:rsidRDefault="005B3C26" w:rsidP="005B3C26">
      <w:pPr>
        <w:pStyle w:val="2"/>
        <w:shd w:val="clear" w:color="auto" w:fill="FFFFFF"/>
        <w:spacing w:before="0" w:line="240" w:lineRule="exact"/>
        <w:ind w:firstLine="709"/>
        <w:contextualSpacing/>
        <w:jc w:val="both"/>
        <w:rPr>
          <w:rFonts w:ascii="Times New Roman" w:hAnsi="Times New Roman" w:cs="Times New Roman"/>
          <w:bCs w:val="0"/>
          <w:color w:val="auto"/>
          <w:sz w:val="28"/>
          <w:szCs w:val="28"/>
        </w:rPr>
      </w:pPr>
      <w:r w:rsidRPr="003F1972">
        <w:rPr>
          <w:rFonts w:ascii="Times New Roman" w:eastAsia="Times New Roman" w:hAnsi="Times New Roman" w:cs="Times New Roman"/>
          <w:color w:val="auto"/>
          <w:kern w:val="36"/>
          <w:sz w:val="28"/>
          <w:szCs w:val="28"/>
          <w:lang w:eastAsia="ru-RU"/>
        </w:rPr>
        <w:lastRenderedPageBreak/>
        <w:t>ПРОКУРАТУРА РАЗЪЯСНЯЕТ</w:t>
      </w:r>
      <w:r w:rsidRPr="003F1972">
        <w:rPr>
          <w:rFonts w:ascii="Times New Roman" w:hAnsi="Times New Roman" w:cs="Times New Roman"/>
          <w:bCs w:val="0"/>
          <w:color w:val="auto"/>
          <w:sz w:val="28"/>
          <w:szCs w:val="28"/>
        </w:rPr>
        <w:t>: Нормирование в сфере обращения с отходами</w:t>
      </w:r>
    </w:p>
    <w:p w:rsidR="005B3C26" w:rsidRPr="003F1972" w:rsidRDefault="005B3C26" w:rsidP="005B3C26">
      <w:pPr>
        <w:spacing w:after="0"/>
        <w:contextualSpacing/>
        <w:rPr>
          <w:rFonts w:ascii="Times New Roman" w:hAnsi="Times New Roman" w:cs="Times New Roman"/>
          <w:sz w:val="28"/>
          <w:szCs w:val="28"/>
        </w:rPr>
      </w:pPr>
    </w:p>
    <w:p w:rsidR="005B3C26" w:rsidRPr="003F1972" w:rsidRDefault="005B3C26" w:rsidP="005B3C26">
      <w:pPr>
        <w:pStyle w:val="a3"/>
        <w:shd w:val="clear" w:color="auto" w:fill="FFFFFF"/>
        <w:spacing w:before="0" w:beforeAutospacing="0" w:after="0" w:afterAutospacing="0"/>
        <w:ind w:firstLine="709"/>
        <w:contextualSpacing/>
        <w:jc w:val="both"/>
        <w:rPr>
          <w:sz w:val="28"/>
          <w:szCs w:val="28"/>
        </w:rPr>
      </w:pPr>
      <w:r w:rsidRPr="003F1972">
        <w:rPr>
          <w:sz w:val="28"/>
          <w:szCs w:val="28"/>
        </w:rPr>
        <w:t>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Нормирование в области охраны окружающей среды заключается в установлении нормативов качества окружающей среды и нормативов допустимого воздействия на окружающую среду, к которым, в частности, относятся нормативы образования отходов производства и потребления и лимиты на их размещение.</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Норматив образования отходов - установленное количество отходов конкретного вида при производстве единицы продукции.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Юридические лица и индивидуальные предприниматели, за исключением субъектов малого и среднего предпринимательства, обязаны разрабатывать проекты нормативов образования отходов и лимитов на их размещение.</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Нормативы образования отходов и лимиты на их размещение для хозяйствующих субъектов, подлежащих федеральному государственному экологическому надзору, утверждаются территориальным органом Росприроднадзора Российской Федерации.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Для хозяйствующих субъектов, подлежащих региональному государственному экологическому надзору, на территории Челябинской области указанные нормативы и лимиты утверждаются Министерством экологии Челябинской области.</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В соответствии с 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 который вступает в силу с 1 января 2019 года,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Согласно указанному закону для юридических лиц или индивидуальных предпринимателей, осуществляющих хозяйственную и (или) иную деятельность на объектах I категории, указанные нормативы и лимиты устанавливаются на основании комплексного экологического разрешения.</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lastRenderedPageBreak/>
        <w:t>Природопользователи, осуществляющие хозяйственную и (или) иную деятельность на объектах II категории, включают информацию об объеме или о массе образовавшихся и размещенных отходов в декларацию о воздействии на окружающую среду.</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Юридические лица и индивидуальные предприниматели, осуществляющие хозяйственную и (или) иную деятельность на объектах III категории, представляют в уполномоченный Правительством РФ федеральный орган исполнительной власти или исполнительные органы государственной власти субъектов РФ в соответствии с их компетенцией в уведомительном порядке отчетность об образовании, использовании, обезвреживании, о размещении отходов.</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При осуществлении хозяйственной и (или) иной деятельности на объектах IV категории с 01.01.2019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5B3C26" w:rsidRPr="003F1972" w:rsidRDefault="005B3C26" w:rsidP="005B3C26">
      <w:pPr>
        <w:pStyle w:val="a3"/>
        <w:shd w:val="clear" w:color="auto" w:fill="FFFFFF"/>
        <w:spacing w:before="0" w:beforeAutospacing="0" w:after="0" w:afterAutospacing="0"/>
        <w:ind w:firstLine="709"/>
        <w:jc w:val="both"/>
        <w:rPr>
          <w:sz w:val="28"/>
          <w:szCs w:val="28"/>
        </w:rPr>
      </w:pPr>
      <w:r w:rsidRPr="003F1972">
        <w:rPr>
          <w:sz w:val="28"/>
          <w:szCs w:val="28"/>
        </w:rPr>
        <w:t>За нарушение экологических требований в сфере обращения с отходами, в том числе за превышение нормативов образования отходов и лимитов на их размещение, статьёй 8.2 Кодекса Российской Федерации об административных правонарушениях установлена административная ответственность. Санкцией указанной статьи предусмотрено наказание для юридических лиц в виде штрафа в размере от ста тысяч до двухсот пятидесяти тысяч рублей или административного приостановления деятельности на срок до девяноста суток.</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Старший помощник прокурора</w:t>
      </w: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 xml:space="preserve">Камызякского района </w:t>
      </w:r>
    </w:p>
    <w:p w:rsidR="005B3C26" w:rsidRPr="003F1972" w:rsidRDefault="005B3C26" w:rsidP="005B3C26">
      <w:pPr>
        <w:spacing w:after="0" w:line="240" w:lineRule="exact"/>
        <w:contextualSpacing/>
        <w:jc w:val="both"/>
        <w:rPr>
          <w:rFonts w:ascii="Times New Roman" w:hAnsi="Times New Roman" w:cs="Times New Roman"/>
          <w:sz w:val="28"/>
          <w:szCs w:val="28"/>
        </w:rPr>
      </w:pPr>
    </w:p>
    <w:p w:rsidR="005B3C26" w:rsidRPr="003F1972" w:rsidRDefault="005B3C26" w:rsidP="005B3C26">
      <w:pPr>
        <w:spacing w:after="0" w:line="240" w:lineRule="exact"/>
        <w:contextualSpacing/>
        <w:jc w:val="both"/>
        <w:rPr>
          <w:rFonts w:ascii="Times New Roman" w:hAnsi="Times New Roman" w:cs="Times New Roman"/>
          <w:sz w:val="28"/>
          <w:szCs w:val="28"/>
        </w:rPr>
      </w:pPr>
      <w:r w:rsidRPr="003F1972">
        <w:rPr>
          <w:rFonts w:ascii="Times New Roman" w:hAnsi="Times New Roman" w:cs="Times New Roman"/>
          <w:sz w:val="28"/>
          <w:szCs w:val="28"/>
        </w:rPr>
        <w:t>юрист 1 класса                                                                               Т.А. Абдуллаева</w:t>
      </w:r>
    </w:p>
    <w:p w:rsidR="005B3C26" w:rsidRPr="003F1972" w:rsidRDefault="005B3C26" w:rsidP="005B3C26">
      <w:pPr>
        <w:spacing w:after="0" w:line="240" w:lineRule="auto"/>
        <w:ind w:firstLine="709"/>
        <w:jc w:val="both"/>
        <w:rPr>
          <w:rFonts w:ascii="Times New Roman" w:hAnsi="Times New Roman" w:cs="Times New Roman"/>
          <w:sz w:val="28"/>
          <w:szCs w:val="28"/>
        </w:rPr>
      </w:pPr>
    </w:p>
    <w:p w:rsidR="00D92448" w:rsidRDefault="00D92448"/>
    <w:sectPr w:rsidR="00D92448" w:rsidSect="00EA5B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B3C26"/>
    <w:rsid w:val="005B3C26"/>
    <w:rsid w:val="00D92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B3C2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C26"/>
    <w:rPr>
      <w:rFonts w:asciiTheme="majorHAnsi" w:eastAsiaTheme="majorEastAsia" w:hAnsiTheme="majorHAnsi" w:cstheme="majorBidi"/>
      <w:b/>
      <w:bCs/>
      <w:color w:val="4F81BD" w:themeColor="accent1"/>
      <w:sz w:val="26"/>
      <w:szCs w:val="26"/>
      <w:lang w:eastAsia="en-US"/>
    </w:rPr>
  </w:style>
  <w:style w:type="paragraph" w:styleId="a3">
    <w:name w:val="Normal (Web)"/>
    <w:basedOn w:val="a"/>
    <w:uiPriority w:val="99"/>
    <w:semiHidden/>
    <w:unhideWhenUsed/>
    <w:rsid w:val="005B3C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4445</Words>
  <Characters>25341</Characters>
  <Application>Microsoft Office Word</Application>
  <DocSecurity>0</DocSecurity>
  <Lines>211</Lines>
  <Paragraphs>59</Paragraphs>
  <ScaleCrop>false</ScaleCrop>
  <Company/>
  <LinksUpToDate>false</LinksUpToDate>
  <CharactersWithSpaces>29727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2018-07-30T16:17:00Z</dcterms:created>
  <dcterms:modified xsi:type="dcterms:W3CDTF">2018-07-30T16:17:00Z</dcterms:modified>
</cp:coreProperties>
</file>