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D3" w:rsidRPr="00A37BCB" w:rsidRDefault="006707D3" w:rsidP="006707D3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 w:rsidRPr="00A37BCB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Что включается в стаж</w:t>
      </w:r>
    </w:p>
    <w:p w:rsidR="006707D3" w:rsidRPr="00A37BCB" w:rsidRDefault="006707D3" w:rsidP="006707D3">
      <w:pPr>
        <w:jc w:val="both"/>
        <w:rPr>
          <w:rFonts w:ascii="Times New Roman" w:hAnsi="Times New Roman" w:cs="Times New Roman"/>
          <w:sz w:val="24"/>
          <w:szCs w:val="24"/>
        </w:rPr>
      </w:pPr>
      <w:r w:rsidRPr="00A37BC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Отделение ПФР по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Астраханской</w:t>
      </w:r>
      <w:r w:rsidRPr="00A37BC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области </w:t>
      </w:r>
      <w:proofErr w:type="gramStart"/>
      <w:r w:rsidRPr="00A37BC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разъясняет</w:t>
      </w:r>
      <w:proofErr w:type="gram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какие периоды при определении права на страховую пенсию включаются в стаж.</w:t>
      </w:r>
      <w:r w:rsidRPr="00A37BC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 соответствии с действующим законодательством, такие периоды, как уход за ребенком до полутора лет, служба в армии, уход за ребенком инвалидом и инвалидо</w:t>
      </w:r>
      <w:r w:rsidRPr="00A37BCB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 с детства 1-й группы, пенсионером, достигшим 80-летнего возраста, включаются в страховой стаж, несмотря на то, что гражданин в это время не работал.</w:t>
      </w:r>
      <w:r w:rsidRPr="00A37BC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A37BCB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Более того, за каждый год такого периода гражданину начисляется определенное количество баллов. К примеру, по уходу за первым ребенком – 1, 8 </w:t>
      </w:r>
      <w:proofErr w:type="gramStart"/>
      <w:r w:rsidRPr="00B705D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индивидуальных</w:t>
      </w:r>
      <w:proofErr w:type="gramEnd"/>
      <w:r w:rsidRPr="00B705D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пенсионных коэффициента (ИПК)</w:t>
      </w:r>
      <w:r w:rsidRPr="00A37BCB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за вторым – 3,6 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ИПК</w:t>
      </w:r>
      <w:r w:rsidRPr="00A37BCB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за третьим и четвертым -5,4 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ИПК</w:t>
      </w:r>
      <w:r w:rsidRPr="00A37BCB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; за каждый год 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службы в армии по призыву – 1,8 ИПК</w:t>
      </w:r>
      <w:r w:rsidRPr="00A37BCB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r w:rsidRPr="00A37BC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A37BCB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Данные периоды учитываются в стаж в том случае, если им предшествовали или за ними следовали периоды работы независимо от их продолжительности.</w:t>
      </w:r>
    </w:p>
    <w:p w:rsidR="00C87344" w:rsidRDefault="006707D3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Узнайте, какие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нестраховые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периоды будут включены в ваш стаж: </w:t>
      </w:r>
      <w:hyperlink r:id="rId5" w:tgtFrame="_blank" w:history="1">
        <w:r>
          <w:rPr>
            <w:rStyle w:val="a3"/>
            <w:rFonts w:ascii="Arial" w:hAnsi="Arial" w:cs="Arial"/>
            <w:color w:val="B84819"/>
            <w:sz w:val="21"/>
            <w:szCs w:val="21"/>
            <w:shd w:val="clear" w:color="auto" w:fill="FFFFFF"/>
          </w:rPr>
          <w:t>https://pfr.gov.ru/branches/kamchatka/news/~2019/10/23/191808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bookmarkStart w:id="0" w:name="_GoBack"/>
      <w:bookmarkEnd w:id="0"/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34075" cy="5934075"/>
            <wp:effectExtent l="0" t="0" r="9525" b="9525"/>
            <wp:docPr id="1" name="Рисунок 1" descr="C:\Users\040TkachevaIK\Desktop\i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0TkachevaIK\Desktop\i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344" w:rsidSect="006707D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D3"/>
    <w:rsid w:val="006707D3"/>
    <w:rsid w:val="00C8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7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7D3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670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7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7D3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670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k.ru/dk?cmd=logExternal&amp;st.cmd=logExternal&amp;st.sig=3ez0NzNqX0vFTIJhPq_pE98pVS0GndptRLS-zDZ9O2xOaj7BwFGx5zcdn8WbxiPA&amp;st.link=https%3A%2F%2Fpfr.gov.ru%2Fbranches%2Fkamchatka%2Fnews%2F%7E2019%2F10%2F23%2F191808&amp;st.name=externalLinkRedirect&amp;st.source=f436&amp;st.tid=1545647153965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Ткачёва Ирина Константиновна</dc:creator>
  <cp:lastModifiedBy>Ткачёва Ирина Константиновна</cp:lastModifiedBy>
  <cp:revision>1</cp:revision>
  <dcterms:created xsi:type="dcterms:W3CDTF">2021-12-01T06:05:00Z</dcterms:created>
  <dcterms:modified xsi:type="dcterms:W3CDTF">2021-12-01T06:08:00Z</dcterms:modified>
</cp:coreProperties>
</file>